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описание-мер-защиты-информации"/>
    <w:p>
      <w:pPr>
        <w:pStyle w:val="Heading1"/>
      </w:pPr>
      <w:r>
        <w:t xml:space="preserve">ОПИСАНИЕ МЕР ЗАЩИТЫ ИНФОРМАЦИИ</w:t>
      </w:r>
    </w:p>
    <w:bookmarkStart w:id="10" w:name="программы-для-эвм-прореестр"/>
    <w:p>
      <w:pPr>
        <w:pStyle w:val="Heading2"/>
      </w:pPr>
      <w:r>
        <w:t xml:space="preserve">программы для ЭВМ «ПроРеестр»</w:t>
      </w:r>
    </w:p>
    <w:bookmarkStart w:id="9" w:name="Xf8f029fbe02dc9961412d5501eedf02078df001"/>
    <w:p>
      <w:pPr>
        <w:pStyle w:val="Heading3"/>
      </w:pPr>
      <w:r>
        <w:t xml:space="preserve">Технический документ для проверок Роскомнадзора, ФСТЭК и тендеров</w:t>
      </w:r>
    </w:p>
    <w:p>
      <w:pPr>
        <w:pStyle w:val="FirstParagraph"/>
      </w:pPr>
      <w:r>
        <w:rPr>
          <w:b/>
          <w:bCs/>
        </w:rPr>
        <w:t xml:space="preserve">Версия документа: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Дата:</w:t>
      </w:r>
      <w:r>
        <w:t xml:space="preserve"> </w:t>
      </w: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  <w:r>
        <w:t xml:space="preserve"> </w:t>
      </w:r>
      <w:r>
        <w:rPr>
          <w:b/>
          <w:bCs/>
        </w:rPr>
        <w:t xml:space="preserve">Производитель ПО:</w:t>
      </w:r>
      <w:r>
        <w:t xml:space="preserve"> </w:t>
      </w:r>
      <w:r>
        <w:t xml:space="preserve">ИП Галимов Ринат _________ (ОГРНИП</w:t>
      </w:r>
      <w:r>
        <w:t xml:space="preserve"> </w:t>
      </w:r>
      <w:r>
        <w:rPr>
          <w:b/>
          <w:bCs/>
          <w:i/>
          <w:iCs/>
        </w:rPr>
        <w:t xml:space="preserve">, ИНН</w:t>
      </w:r>
      <w:r>
        <w:rPr>
          <w:b/>
          <w:bCs/>
          <w:i/>
          <w:iCs/>
        </w:rPr>
        <w:t xml:space="preserve"> 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1" w:name="общие-сведения-о-программе"/>
    <w:p>
      <w:pPr>
        <w:pStyle w:val="Heading2"/>
      </w:pPr>
      <w:r>
        <w:t xml:space="preserve">1. ОБЩИЕ СВЕДЕНИЯ О ПРОГРАММЕ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Полное наименование</w:t>
            </w:r>
          </w:p>
        </w:tc>
        <w:tc>
          <w:tcPr/>
          <w:p>
            <w:pPr>
              <w:pStyle w:val="Compact"/>
            </w:pPr>
            <w:r>
              <w:t xml:space="preserve">Программа автоматической регистрации входящих и исходящих писем «ПроРеестр»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Производитель</w:t>
            </w:r>
          </w:p>
        </w:tc>
        <w:tc>
          <w:tcPr/>
          <w:p>
            <w:pPr>
              <w:pStyle w:val="Compact"/>
            </w:pPr>
            <w:r>
              <w:t xml:space="preserve">ИП Галимов Ринат 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Свидетельство о государственной регистрации программы для ЭВМ</w:t>
            </w:r>
          </w:p>
        </w:tc>
        <w:tc>
          <w:tcPr/>
          <w:p>
            <w:pPr>
              <w:pStyle w:val="Compact"/>
            </w:pPr>
            <w:r>
              <w:t xml:space="preserve">№ _______ от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______ 2026 г.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Архитектура</w:t>
            </w:r>
          </w:p>
        </w:tc>
        <w:tc>
          <w:tcPr/>
          <w:p>
            <w:pPr>
              <w:pStyle w:val="Compact"/>
            </w:pPr>
            <w:r>
              <w:t xml:space="preserve">Web-приложение, клиент-серверная (Python Flask + SQLite)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Серверная ОС</w:t>
            </w:r>
          </w:p>
        </w:tc>
        <w:tc>
          <w:tcPr/>
          <w:p>
            <w:pPr>
              <w:pStyle w:val="Compact"/>
            </w:pPr>
            <w:r>
              <w:t xml:space="preserve">Windows 10/11/Server 2016+, Linux Ubuntu 22.04+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Тип развёртывания</w:t>
            </w:r>
          </w:p>
        </w:tc>
        <w:tc>
          <w:tcPr/>
          <w:p>
            <w:pPr>
              <w:pStyle w:val="Compact"/>
            </w:pPr>
            <w:r>
              <w:t xml:space="preserve">Cloud / managed hosting — арендованный VPS в дата-центре РФ</w:t>
            </w:r>
          </w:p>
        </w:tc>
      </w:tr>
      <w:tr>
        <w:tc>
          <w:tcPr/>
          <w:p>
            <w:pPr>
              <w:pStyle w:val="Compact"/>
            </w:pPr>
            <w:r>
              <w:t xml:space="preserve">Локализация данных</w:t>
            </w:r>
          </w:p>
        </w:tc>
        <w:tc>
          <w:tcPr/>
          <w:p>
            <w:pPr>
              <w:pStyle w:val="Compact"/>
            </w:pPr>
            <w:r>
              <w:t xml:space="preserve">Российская Федерация (242-ФЗ)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Передача данных третьим лицам</w:t>
            </w:r>
          </w:p>
        </w:tc>
        <w:tc>
          <w:tcPr/>
          <w:p>
            <w:pPr>
              <w:pStyle w:val="Compact"/>
            </w:pPr>
            <w:r>
              <w:t xml:space="preserve">Не осуществляется (за исключением хостинг-провайдера как соисполнителя)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Start w:id="12" w:name="категории-обрабатываемых-данных"/>
    <w:p>
      <w:pPr>
        <w:pStyle w:val="Heading2"/>
      </w:pPr>
      <w:r>
        <w:t xml:space="preserve">2. КАТЕГОРИИ ОБРАБАТЫВАЕМЫХ ДАННЫХ</w:t>
      </w:r>
    </w:p>
    <w:p>
      <w:pPr>
        <w:pStyle w:val="FirstParagraph"/>
      </w:pPr>
      <w:r>
        <w:t xml:space="preserve">2.1. Программа обрабатывает следующие категории персональных данных Заказчика: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Категория</w:t>
            </w:r>
          </w:p>
        </w:tc>
        <w:tc>
          <w:tcPr/>
          <w:p>
            <w:pPr>
              <w:pStyle w:val="Compact"/>
            </w:pPr>
            <w:r>
              <w:t xml:space="preserve">Состав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Сотрудники Заказчика</w:t>
            </w:r>
          </w:p>
        </w:tc>
        <w:tc>
          <w:tcPr/>
          <w:p>
            <w:pPr>
              <w:pStyle w:val="Compact"/>
            </w:pPr>
            <w:r>
              <w:t xml:space="preserve">Логин, ФИО, должность, email, контактный телефон, хеш пароля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Внешние корреспонденты</w:t>
            </w:r>
          </w:p>
        </w:tc>
        <w:tc>
          <w:tcPr/>
          <w:p>
            <w:pPr>
              <w:pStyle w:val="Compact"/>
            </w:pPr>
            <w:r>
              <w:t xml:space="preserve">Email отправителя, ФИО (при указании), наименование организации, тема и текст сообщения, вложения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Граждане-заявители</w:t>
            </w:r>
          </w:p>
        </w:tc>
        <w:tc>
          <w:tcPr/>
          <w:p>
            <w:pPr>
              <w:pStyle w:val="Compact"/>
            </w:pPr>
            <w:r>
              <w:t xml:space="preserve">ФИО, контактные данные, текст обращения (по 59-ФЗ)</w:t>
            </w:r>
          </w:p>
        </w:tc>
      </w:tr>
    </w:tbl>
    <w:p>
      <w:pPr>
        <w:pStyle w:val="BodyText"/>
      </w:pPr>
      <w:r>
        <w:t xml:space="preserve">2.2.</w:t>
      </w:r>
      <w:r>
        <w:t xml:space="preserve"> </w:t>
      </w:r>
      <w:r>
        <w:rPr>
          <w:b/>
          <w:bCs/>
        </w:rPr>
        <w:t xml:space="preserve">Не обрабатываются:</w:t>
      </w:r>
      <w:r>
        <w:t xml:space="preserve"> </w:t>
      </w:r>
      <w:r>
        <w:t xml:space="preserve">- Биометрические данные;</w:t>
      </w:r>
      <w:r>
        <w:t xml:space="preserve"> </w:t>
      </w:r>
      <w:r>
        <w:t xml:space="preserve">- Специальные категории (раса, национальность, состояние здоровья, политические взгляды);</w:t>
      </w:r>
      <w:r>
        <w:t xml:space="preserve"> </w:t>
      </w:r>
      <w:r>
        <w:t xml:space="preserve">- Данные несовершеннолетних в качестве самостоятельной категории.</w:t>
      </w:r>
    </w:p>
    <w:p>
      <w:pPr>
        <w:pStyle w:val="BodyText"/>
      </w:pPr>
      <w:r>
        <w:t xml:space="preserve">2.3.</w:t>
      </w:r>
      <w:r>
        <w:t xml:space="preserve"> </w:t>
      </w:r>
      <w:r>
        <w:rPr>
          <w:b/>
          <w:bCs/>
        </w:rPr>
        <w:t xml:space="preserve">Уровень защищённости</w:t>
      </w:r>
      <w:r>
        <w:t xml:space="preserve"> </w:t>
      </w:r>
      <w:r>
        <w:t xml:space="preserve">— определяется в соответствии с Постановлением Правительства РФ от 01.11.2012 № 1119:</w:t>
      </w:r>
      <w:r>
        <w:t xml:space="preserve"> </w:t>
      </w:r>
      <w:r>
        <w:t xml:space="preserve">- Для типовой администрации до 100 000 субъектов ПД —</w:t>
      </w:r>
      <w:r>
        <w:t xml:space="preserve"> </w:t>
      </w:r>
      <w:r>
        <w:rPr>
          <w:b/>
          <w:bCs/>
        </w:rPr>
        <w:t xml:space="preserve">УЗ-3</w:t>
      </w:r>
      <w:r>
        <w:t xml:space="preserve"> </w:t>
      </w:r>
      <w:r>
        <w:t xml:space="preserve">или</w:t>
      </w:r>
      <w:r>
        <w:t xml:space="preserve"> </w:t>
      </w:r>
      <w:r>
        <w:rPr>
          <w:b/>
          <w:bCs/>
        </w:rPr>
        <w:t xml:space="preserve">УЗ-4</w:t>
      </w:r>
      <w:r>
        <w:t xml:space="preserve">;</w:t>
      </w:r>
      <w:r>
        <w:t xml:space="preserve"> </w:t>
      </w:r>
      <w:r>
        <w:t xml:space="preserve">- Конкретный уровень устанавливается комиссией Заказчика на основании результатов классификации ИСПДн.</w:t>
      </w:r>
    </w:p>
    <w:p>
      <w:r>
        <w:pict>
          <v:rect style="width:0;height:1.5pt" o:hralign="center" o:hrstd="t" o:hr="t"/>
        </w:pict>
      </w:r>
    </w:p>
    <w:bookmarkEnd w:id="12"/>
    <w:bookmarkStart w:id="23" w:name="реализованные-меры-защиты"/>
    <w:p>
      <w:pPr>
        <w:pStyle w:val="Heading2"/>
      </w:pPr>
      <w:r>
        <w:t xml:space="preserve">3. РЕАЛИЗОВАННЫЕ МЕРЫ ЗАЩИТЫ</w:t>
      </w:r>
    </w:p>
    <w:bookmarkStart w:id="13" w:name="идентификация-и-аутентификация-иаф"/>
    <w:p>
      <w:pPr>
        <w:pStyle w:val="Heading3"/>
      </w:pPr>
      <w:r>
        <w:t xml:space="preserve">3.1. Идентификация и аутентификация (ИАФ)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 ФСТЭК (Приказ № 21)</w:t>
            </w:r>
          </w:p>
        </w:tc>
        <w:tc>
          <w:tcPr/>
          <w:p>
            <w:pPr>
              <w:pStyle w:val="Compact"/>
            </w:pPr>
            <w:r>
              <w:t xml:space="preserve">Реализация в «ПроРеестр»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ИАФ.1 — идентификация и аутентификация пользователей</w:t>
            </w:r>
          </w:p>
        </w:tc>
        <w:tc>
          <w:tcPr/>
          <w:p>
            <w:pPr>
              <w:pStyle w:val="Compact"/>
            </w:pPr>
            <w:r>
              <w:t xml:space="preserve">Логин + пароль для каждого сотрудника. Возможна интеграция с КЭП.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ИАФ.5 — защита аутентификационной информации</w:t>
            </w:r>
          </w:p>
        </w:tc>
        <w:tc>
          <w:tcPr/>
          <w:p>
            <w:pPr>
              <w:pStyle w:val="Compact"/>
            </w:pPr>
            <w:r>
              <w:t xml:space="preserve">Пароли хранятся в виде PBKDF2-SHA256 хешей с индивидуальной солью, 600 000 итераций. Использование пароля в открытом виде в БД невозможно.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ИАФ.6 — защита от подбора пароля</w:t>
            </w:r>
          </w:p>
        </w:tc>
        <w:tc>
          <w:tcPr/>
          <w:p>
            <w:pPr>
              <w:pStyle w:val="Compact"/>
            </w:pPr>
            <w:r>
              <w:t xml:space="preserve">Rate-limit: не более 5 неудачных попыток за 5 минут. После — блокировка IP на 15 минут.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ИАФ.7 — блокировка неактивной сессии</w:t>
            </w:r>
          </w:p>
        </w:tc>
        <w:tc>
          <w:tcPr/>
          <w:p>
            <w:pPr>
              <w:pStyle w:val="Compact"/>
            </w:pPr>
            <w:r>
              <w:t xml:space="preserve">Сессия пользователя истекает через 3 часа неактивности.</w:t>
            </w:r>
          </w:p>
        </w:tc>
      </w:tr>
    </w:tbl>
    <w:bookmarkEnd w:id="13"/>
    <w:bookmarkStart w:id="14" w:name="управление-доступом-упд"/>
    <w:p>
      <w:pPr>
        <w:pStyle w:val="Heading3"/>
      </w:pPr>
      <w:r>
        <w:t xml:space="preserve">3.2. Управление доступом (УПД)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УПД.1 — управление учётными записями</w:t>
            </w:r>
          </w:p>
        </w:tc>
        <w:tc>
          <w:tcPr/>
          <w:p>
            <w:pPr>
              <w:pStyle w:val="Compact"/>
            </w:pPr>
            <w:r>
              <w:t xml:space="preserve">Только администратор системы может создавать/блокировать учётные записи.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УПД.2 — реализация необходимых методов</w:t>
            </w:r>
          </w:p>
        </w:tc>
        <w:tc>
          <w:tcPr/>
          <w:p>
            <w:pPr>
              <w:pStyle w:val="Compact"/>
            </w:pPr>
            <w:r>
              <w:t xml:space="preserve">Ролевая модель: «admin» (полный доступ), «employee» (доступ к своим письмам).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УПД.4 — разделение полномочий</w:t>
            </w:r>
          </w:p>
        </w:tc>
        <w:tc>
          <w:tcPr/>
          <w:p>
            <w:pPr>
              <w:pStyle w:val="Compact"/>
            </w:pPr>
            <w:r>
              <w:t xml:space="preserve">Администратор не имеет автоматического доступа к контенту писем сотрудников.</w:t>
            </w:r>
          </w:p>
        </w:tc>
      </w:tr>
    </w:tbl>
    <w:bookmarkEnd w:id="14"/>
    <w:bookmarkStart w:id="15" w:name="защита-машинных-носителей-информации-зни"/>
    <w:p>
      <w:pPr>
        <w:pStyle w:val="Heading3"/>
      </w:pPr>
      <w:r>
        <w:t xml:space="preserve">3.3. Защита машинных носителей информации (ЗНИ)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ЗНИ.1 — учёт носителей</w:t>
            </w:r>
          </w:p>
        </w:tc>
        <w:tc>
          <w:tcPr/>
          <w:p>
            <w:pPr>
              <w:pStyle w:val="Compact"/>
            </w:pPr>
            <w:r>
              <w:t xml:space="preserve">Данные размещены на арендованном VPS в дата-центре РФ. Учёт физических носителей ведётся хостинг-провайдером в соответствии с его сертификацией.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ЗНИ.2 — управление доступом к носителям</w:t>
            </w:r>
          </w:p>
        </w:tc>
        <w:tc>
          <w:tcPr/>
          <w:p>
            <w:pPr>
              <w:pStyle w:val="Compact"/>
            </w:pPr>
            <w:r>
              <w:t xml:space="preserve">На уровне инфраструктуры хостинг-провайдера (физическая охрана дата-центра, контроль доступа сотрудников).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ЗНИ.7 — уничтожение информации</w:t>
            </w:r>
          </w:p>
        </w:tc>
        <w:tc>
          <w:tcPr/>
          <w:p>
            <w:pPr>
              <w:pStyle w:val="Compact"/>
            </w:pPr>
            <w:r>
              <w:t xml:space="preserve">Soft-delete + возможность периодической ротации БД.</w:t>
            </w:r>
          </w:p>
        </w:tc>
      </w:tr>
    </w:tbl>
    <w:bookmarkEnd w:id="15"/>
    <w:bookmarkStart w:id="16" w:name="регистрация-событий-безопасности-рсб"/>
    <w:p>
      <w:pPr>
        <w:pStyle w:val="Heading3"/>
      </w:pPr>
      <w:r>
        <w:t xml:space="preserve">3.4. Регистрация событий безопасности (РСБ)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РСБ.1 — определение событий</w:t>
            </w:r>
          </w:p>
        </w:tc>
        <w:tc>
          <w:tcPr/>
          <w:p>
            <w:pPr>
              <w:pStyle w:val="Compact"/>
            </w:pPr>
            <w:r>
              <w:t xml:space="preserve">Audit_log фиксирует: вход, неудачный вход, регистрация письма, изменение статуса, удаление, создание/изменение пользователя, экспорт данных.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РСБ.2 — состав регистрируемой информации</w:t>
            </w:r>
          </w:p>
        </w:tc>
        <w:tc>
          <w:tcPr/>
          <w:p>
            <w:pPr>
              <w:pStyle w:val="Compact"/>
            </w:pPr>
            <w:r>
              <w:t xml:space="preserve">Дата и время (точность 1 сек), идентификатор и имя пользователя, IP-адрес, тип действия, объект действия, дополнительные сведения.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РСБ.3 — сбор записей</w:t>
            </w:r>
          </w:p>
        </w:tc>
        <w:tc>
          <w:tcPr/>
          <w:p>
            <w:pPr>
              <w:pStyle w:val="Compact"/>
            </w:pPr>
            <w:r>
              <w:t xml:space="preserve">Все записи в одной таблице SQLite с индексацией для быстрой выборки.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РСБ.5 — мониторинг событий</w:t>
            </w:r>
          </w:p>
        </w:tc>
        <w:tc>
          <w:tcPr/>
          <w:p>
            <w:pPr>
              <w:pStyle w:val="Compact"/>
            </w:pPr>
            <w:r>
              <w:t xml:space="preserve">Возможность экспорта журнала в Excel за любой период.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РСБ.7 — защита журнала от удаления</w:t>
            </w:r>
          </w:p>
        </w:tc>
        <w:tc>
          <w:tcPr/>
          <w:p>
            <w:pPr>
              <w:pStyle w:val="Compact"/>
            </w:pPr>
            <w:r>
              <w:t xml:space="preserve">Записи журнала помечаются как защищённые, обычным пользователям удаление недоступно.</w:t>
            </w:r>
          </w:p>
        </w:tc>
      </w:tr>
    </w:tbl>
    <w:bookmarkEnd w:id="16"/>
    <w:bookmarkStart w:id="17" w:name="антивирусная-защита-авз"/>
    <w:p>
      <w:pPr>
        <w:pStyle w:val="Heading3"/>
      </w:pPr>
      <w:r>
        <w:t xml:space="preserve">3.5. Антивирусная защита (АВЗ)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АВЗ.1 — реализация средствами ОС</w:t>
            </w:r>
          </w:p>
        </w:tc>
        <w:tc>
          <w:tcPr/>
          <w:p>
            <w:pPr>
              <w:pStyle w:val="Compact"/>
            </w:pPr>
            <w:r>
              <w:t xml:space="preserve">На уровне арендованного VPS установлен антивирусный софт с актуальными базами. Хостинг-провайдер обеспечивает периметровую защиту.</w:t>
            </w:r>
          </w:p>
        </w:tc>
      </w:tr>
    </w:tbl>
    <w:bookmarkEnd w:id="17"/>
    <w:bookmarkStart w:id="18" w:name="контроль-защищённости-анз"/>
    <w:p>
      <w:pPr>
        <w:pStyle w:val="Heading3"/>
      </w:pPr>
      <w:r>
        <w:t xml:space="preserve">3.6. Контроль защищённости (АНЗ)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АНЗ.1 — выявление уязвимостей</w:t>
            </w:r>
          </w:p>
        </w:tc>
        <w:tc>
          <w:tcPr/>
          <w:p>
            <w:pPr>
              <w:pStyle w:val="Compact"/>
            </w:pPr>
            <w:r>
              <w:t xml:space="preserve">Регулярные обновления зависимостей (Flask, cryptography, SQLite — все из официальных репозиториев с активной поддержкой).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АНЗ.2 — контроль установки обновлений</w:t>
            </w:r>
          </w:p>
        </w:tc>
        <w:tc>
          <w:tcPr/>
          <w:p>
            <w:pPr>
              <w:pStyle w:val="Compact"/>
            </w:pPr>
            <w:r>
              <w:t xml:space="preserve">Обновления Программы поставляются через защищённый канал с цифровой подписью производителя.</w:t>
            </w:r>
          </w:p>
        </w:tc>
      </w:tr>
    </w:tbl>
    <w:bookmarkEnd w:id="18"/>
    <w:bookmarkStart w:id="19" w:name="защита-среды-виртуализации-зсв"/>
    <w:p>
      <w:pPr>
        <w:pStyle w:val="Heading3"/>
      </w:pPr>
      <w:r>
        <w:t xml:space="preserve">3.7. Защита среды виртуализации (ЗСВ)</w:t>
      </w:r>
    </w:p>
    <w:p>
      <w:pPr>
        <w:pStyle w:val="FirstParagraph"/>
      </w:pPr>
      <w:r>
        <w:t xml:space="preserve">Программа размещается на виртуальном сервере в инфраструктуре хостинг-провайдера, имеющего соответствующую сертификацию. Гипервизор управляется хостинг-провайдером.</w:t>
      </w:r>
    </w:p>
    <w:bookmarkEnd w:id="19"/>
    <w:bookmarkStart w:id="20" w:name="защита-технических-средств-зтс"/>
    <w:p>
      <w:pPr>
        <w:pStyle w:val="Heading3"/>
      </w:pPr>
      <w:r>
        <w:t xml:space="preserve">3.8. Защита технических средств (ЗТС)</w:t>
      </w:r>
    </w:p>
    <w:p>
      <w:pPr>
        <w:pStyle w:val="FirstParagraph"/>
      </w:pPr>
      <w:r>
        <w:t xml:space="preserve">Сервер физически расположен в защищённом дата-центре российского хостинг-провайдера (контролируемая зона, видеонаблюдение, биометрический контроль доступа сотрудников провайдера). Физическая защита обеспечивается хостинг-провайдером.</w:t>
      </w:r>
    </w:p>
    <w:bookmarkEnd w:id="20"/>
    <w:bookmarkStart w:id="21" w:name="Xdb79676a5371f0ec2fde297d40bd0121fb4fb20"/>
    <w:p>
      <w:pPr>
        <w:pStyle w:val="Heading3"/>
      </w:pPr>
      <w:r>
        <w:t xml:space="preserve">3.9. Защита информационной системы, её средств, систем связи и передачи данных (ЗИС)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Требование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ЗИС.1 — разделение функций администрирования и работы</w:t>
            </w:r>
          </w:p>
        </w:tc>
        <w:tc>
          <w:tcPr/>
          <w:p>
            <w:pPr>
              <w:pStyle w:val="Compact"/>
            </w:pPr>
            <w:r>
              <w:t xml:space="preserve">Администратор имеет отдельную учётную запись с расширенными правами.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ЗИС.3 — защита периметра</w:t>
            </w:r>
          </w:p>
        </w:tc>
        <w:tc>
          <w:tcPr/>
          <w:p>
            <w:pPr>
              <w:pStyle w:val="Compact"/>
            </w:pPr>
            <w:r>
              <w:t xml:space="preserve">Программа доступна только по HTTPS (TLS 1.2+) с действительным SSL-сертификатом Let’s Encrypt.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ЗИС.5 — обнаружение вторжений</w:t>
            </w:r>
          </w:p>
        </w:tc>
        <w:tc>
          <w:tcPr/>
          <w:p>
            <w:pPr>
              <w:pStyle w:val="Compact"/>
            </w:pPr>
            <w:r>
              <w:t xml:space="preserve">На уровне инфраструктуры хостинг-провайдера (фаервол, мониторинг трафика). На уровне Программы — rate-limit и audit_log.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ЗИС.20 — защита от спама</w:t>
            </w:r>
          </w:p>
        </w:tc>
        <w:tc>
          <w:tcPr/>
          <w:p>
            <w:pPr>
              <w:pStyle w:val="Compact"/>
            </w:pPr>
            <w:r>
              <w:t xml:space="preserve">На уровне почтового сервера Заказчика.</w:t>
            </w:r>
          </w:p>
        </w:tc>
      </w:tr>
    </w:tbl>
    <w:bookmarkEnd w:id="21"/>
    <w:bookmarkStart w:id="22" w:name="криптографические-средства"/>
    <w:p>
      <w:pPr>
        <w:pStyle w:val="Heading3"/>
      </w:pPr>
      <w:r>
        <w:t xml:space="preserve">3.10. Криптографические средства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</w:pPr>
            <w:r>
              <w:t xml:space="preserve">Алгоритм</w:t>
            </w:r>
          </w:p>
        </w:tc>
      </w:tr>
      <w:tr>
        <w:tc>
          <w:tcPr/>
          <w:p>
            <w:pPr>
              <w:pStyle w:val="Compact"/>
            </w:pPr>
            <w:r>
              <w:t xml:space="preserve">Хеширование паролей пользователей</w:t>
            </w:r>
          </w:p>
        </w:tc>
        <w:tc>
          <w:tcPr/>
          <w:p>
            <w:pPr>
              <w:pStyle w:val="Compact"/>
            </w:pPr>
            <w:r>
              <w:t xml:space="preserve">PBKDF2-HMAC-SHA256, 600 000 итераций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Шифрование пароля почтового ящика в конфигурации</w:t>
            </w:r>
          </w:p>
        </w:tc>
        <w:tc>
          <w:tcPr/>
          <w:p>
            <w:pPr>
              <w:pStyle w:val="Compact"/>
            </w:pPr>
            <w:r>
              <w:t xml:space="preserve">Fernet (AES-128-CBC + HMAC-SHA256, RFC 4868)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канала связи</w:t>
            </w:r>
          </w:p>
        </w:tc>
        <w:tc>
          <w:tcPr/>
          <w:p>
            <w:pPr>
              <w:pStyle w:val="Compact"/>
            </w:pPr>
            <w:r>
              <w:t xml:space="preserve">TLS 1.2+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Подпись и проверка обновлений ПО</w:t>
            </w:r>
          </w:p>
        </w:tc>
        <w:tc>
          <w:tcPr/>
          <w:p>
            <w:pPr>
              <w:pStyle w:val="Compact"/>
            </w:pPr>
            <w:r>
              <w:t xml:space="preserve">По цифровой подписи производителя</w:t>
            </w:r>
          </w:p>
        </w:tc>
      </w:tr>
    </w:tbl>
    <w:p>
      <w:pPr>
        <w:pStyle w:val="BlockText"/>
      </w:pPr>
      <w:r>
        <w:rPr>
          <w:b/>
          <w:bCs/>
        </w:rPr>
        <w:t xml:space="preserve">Важно:</w:t>
      </w:r>
      <w:r>
        <w:t xml:space="preserve"> </w:t>
      </w:r>
      <w:r>
        <w:t xml:space="preserve">реализованные алгоритмы (AES-128-CBC, SHA-256, PBKDF2) являются международными. Для систем, требующих</w:t>
      </w:r>
      <w:r>
        <w:t xml:space="preserve"> </w:t>
      </w:r>
      <w:r>
        <w:rPr>
          <w:b/>
          <w:bCs/>
        </w:rPr>
        <w:t xml:space="preserve">исключительно отечественной криптографии</w:t>
      </w:r>
      <w:r>
        <w:t xml:space="preserve"> </w:t>
      </w:r>
      <w:r>
        <w:t xml:space="preserve">(ГОСТ Р 34.11-2012, ГОСТ Р 34.12-2015), необходима интеграция с ПО КриптоПро или ВипНет — это услуга Корпоративного тарифа.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резервное-копирование-и-восстановление"/>
    <w:p>
      <w:pPr>
        <w:pStyle w:val="Heading2"/>
      </w:pPr>
      <w:r>
        <w:t xml:space="preserve">4. РЕЗЕРВНОЕ КОПИРОВАНИЕ И ВОССТАНОВЛЕНИЕ</w:t>
      </w:r>
    </w:p>
    <w:p>
      <w:pPr>
        <w:pStyle w:val="FirstParagraph"/>
      </w:pPr>
      <w:r>
        <w:t xml:space="preserve">4.1. Программа поддерживает автоматическое резервное копирование на:</w:t>
      </w:r>
      <w:r>
        <w:t xml:space="preserve"> </w:t>
      </w:r>
      <w:r>
        <w:t xml:space="preserve">- Локальный диск Заказчика;</w:t>
      </w:r>
      <w:r>
        <w:t xml:space="preserve"> </w:t>
      </w:r>
      <w:r>
        <w:t xml:space="preserve">- Сетевой диск (NFS/SMB);</w:t>
      </w:r>
      <w:r>
        <w:t xml:space="preserve"> </w:t>
      </w:r>
      <w:r>
        <w:t xml:space="preserve">- Облачное хранилище Яндекс.Диск (через API с авторизацией по OAuth-токену).</w:t>
      </w:r>
    </w:p>
    <w:p>
      <w:pPr>
        <w:pStyle w:val="BodyText"/>
      </w:pPr>
      <w:r>
        <w:t xml:space="preserve">4.2. Файлы резервных копий шифруются на стороне источника (опция).</w:t>
      </w:r>
    </w:p>
    <w:p>
      <w:pPr>
        <w:pStyle w:val="BodyText"/>
      </w:pPr>
      <w:r>
        <w:t xml:space="preserve">4.3. Восстановление: подмена файла</w:t>
      </w:r>
      <w:r>
        <w:t xml:space="preserve"> </w:t>
      </w:r>
      <w:r>
        <w:rPr>
          <w:rStyle w:val="VerbatimChar"/>
        </w:rPr>
        <w:t xml:space="preserve">mail_registry.db</w:t>
      </w:r>
      <w:r>
        <w:t xml:space="preserve"> </w:t>
      </w:r>
      <w:r>
        <w:t xml:space="preserve">на копию + перезапуск Программы. Время восстановления —</w:t>
      </w:r>
      <w:r>
        <w:t xml:space="preserve"> </w:t>
      </w:r>
      <w:r>
        <w:rPr>
          <w:b/>
          <w:bCs/>
        </w:rPr>
        <w:t xml:space="preserve">не более 10 минут</w:t>
      </w:r>
      <w:r>
        <w:t xml:space="preserve">.</w:t>
      </w:r>
    </w:p>
    <w:p>
      <w:pPr>
        <w:pStyle w:val="BodyText"/>
      </w:pPr>
      <w:r>
        <w:t xml:space="preserve">4.4. Рекомендуемая политика — правило</w:t>
      </w:r>
      <w:r>
        <w:t xml:space="preserve"> </w:t>
      </w:r>
      <w:r>
        <w:rPr>
          <w:b/>
          <w:bCs/>
        </w:rPr>
        <w:t xml:space="preserve">3-2-1</w:t>
      </w:r>
      <w:r>
        <w:t xml:space="preserve">: 3 копии данных на 2 разных носителях, 1 копия в географически удалённом месте.</w:t>
      </w:r>
    </w:p>
    <w:p>
      <w:r>
        <w:pict>
          <v:rect style="width:0;height:1.5pt" o:hralign="center" o:hrstd="t" o:hr="t"/>
        </w:pict>
      </w:r>
    </w:p>
    <w:bookmarkEnd w:id="24"/>
    <w:bookmarkStart w:id="25" w:name="X331aeff956a9bd366d343f153d0fd57d726a1d4"/>
    <w:p>
      <w:pPr>
        <w:pStyle w:val="Heading2"/>
      </w:pPr>
      <w:r>
        <w:t xml:space="preserve">5. ОТСУТСТВИЕ НЕДЕКЛАРИРОВАННЫХ ВОЗМОЖНОСТЕЙ</w:t>
      </w:r>
    </w:p>
    <w:p>
      <w:pPr>
        <w:pStyle w:val="FirstParagraph"/>
      </w:pPr>
      <w:r>
        <w:t xml:space="preserve">5.1. Программа разработана из открытых компонентов:</w:t>
      </w:r>
      <w:r>
        <w:t xml:space="preserve"> </w:t>
      </w:r>
      <w:r>
        <w:t xml:space="preserve">- Python (PSF License);</w:t>
      </w:r>
      <w:r>
        <w:t xml:space="preserve"> </w:t>
      </w:r>
      <w:r>
        <w:t xml:space="preserve">- Flask (BSD License);</w:t>
      </w:r>
      <w:r>
        <w:t xml:space="preserve"> </w:t>
      </w:r>
      <w:r>
        <w:t xml:space="preserve">- SQLite (Public Domain);</w:t>
      </w:r>
      <w:r>
        <w:t xml:space="preserve"> </w:t>
      </w:r>
      <w:r>
        <w:t xml:space="preserve">- cryptography (Apache 2.0 / BSD).</w:t>
      </w:r>
    </w:p>
    <w:p>
      <w:pPr>
        <w:pStyle w:val="BodyText"/>
      </w:pPr>
      <w:r>
        <w:t xml:space="preserve">5.2. Производитель готов</w:t>
      </w:r>
      <w:r>
        <w:t xml:space="preserve"> </w:t>
      </w:r>
      <w:r>
        <w:rPr>
          <w:b/>
          <w:bCs/>
        </w:rPr>
        <w:t xml:space="preserve">передать исходный код</w:t>
      </w:r>
      <w:r>
        <w:t xml:space="preserve"> </w:t>
      </w:r>
      <w:r>
        <w:t xml:space="preserve">Заказчику для аудита по запросу (за рамками тарифа Корпоративный — индивидуально).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  <w:bCs/>
        </w:rPr>
        <w:t xml:space="preserve">В Программе не предусмотрены</w:t>
      </w:r>
      <w:r>
        <w:t xml:space="preserve">:</w:t>
      </w:r>
      <w:r>
        <w:t xml:space="preserve"> </w:t>
      </w:r>
      <w:r>
        <w:t xml:space="preserve">- Удалённый административный доступ для производителя без явного запроса Заказчика;</w:t>
      </w:r>
      <w:r>
        <w:t xml:space="preserve"> </w:t>
      </w:r>
      <w:r>
        <w:t xml:space="preserve">- Сбор телеметрии и отправка её внешним серверам;</w:t>
      </w:r>
      <w:r>
        <w:t xml:space="preserve"> </w:t>
      </w:r>
      <w:r>
        <w:t xml:space="preserve">- Скрытые каналы связи;</w:t>
      </w:r>
      <w:r>
        <w:t xml:space="preserve"> </w:t>
      </w:r>
      <w:r>
        <w:t xml:space="preserve">- Бэкдоры, отладочные интерфейсы в production-сборке.</w:t>
      </w:r>
    </w:p>
    <w:p>
      <w:r>
        <w:pict>
          <v:rect style="width:0;height:1.5pt" o:hralign="center" o:hrstd="t" o:hr="t"/>
        </w:pict>
      </w:r>
    </w:p>
    <w:bookmarkEnd w:id="25"/>
    <w:bookmarkStart w:id="26" w:name="распределение-зон-ответственности"/>
    <w:p>
      <w:pPr>
        <w:pStyle w:val="Heading2"/>
      </w:pPr>
      <w:r>
        <w:t xml:space="preserve">6. РАСПРЕДЕЛЕНИЕ ЗОН ОТВЕТСТВЕННОСТИ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Мера защиты</w:t>
            </w:r>
          </w:p>
        </w:tc>
        <w:tc>
          <w:tcPr/>
          <w:p>
            <w:pPr>
              <w:pStyle w:val="Compact"/>
            </w:pPr>
            <w:r>
              <w:t xml:space="preserve">Зона ответственности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Физическая защита дата-центра, гипервизор, сетевая инфраструктура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Хостинг-провайдер</w:t>
            </w:r>
            <w:r>
              <w:t xml:space="preserve"> </w:t>
            </w:r>
            <w:r>
              <w:t xml:space="preserve">(по сертифицированным процедурам)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Серверный антивирус, периметровый фаервол, мониторинг доступности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Исполнитель</w:t>
            </w:r>
            <w:r>
              <w:t xml:space="preserve"> </w:t>
            </w:r>
            <w:r>
              <w:t xml:space="preserve">(оплачено в рамках тарифа)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Регулярные обновления Программы и ОС, резервное копирование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Исполнитель</w:t>
            </w:r>
            <w:r>
              <w:t xml:space="preserve"> </w:t>
            </w:r>
            <w:r>
              <w:t xml:space="preserve">(оплачено в рамках тарифа)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HTTPS / SSL-сертификат, защита канала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Исполнитель</w:t>
            </w:r>
            <w:r>
              <w:t xml:space="preserve"> </w:t>
            </w:r>
            <w:r>
              <w:t xml:space="preserve">(оплачено в рамках тарифа)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Учётные записи и пароли пользователей Заказчика</w:t>
            </w:r>
          </w:p>
        </w:tc>
        <w:tc>
          <w:tcPr/>
          <w:p>
            <w:pPr>
              <w:pStyle w:val="Compact"/>
            </w:pPr>
            <w:r>
              <w:t xml:space="preserve">Программа (PBKDF2-SHA256) — настраивается администратором Заказчика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Конфиденциальность учётных данных доступа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Заказчик</w:t>
            </w:r>
            <w:r>
              <w:t xml:space="preserve"> </w:t>
            </w:r>
            <w:r>
              <w:t xml:space="preserve">(организационные меры)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Антивирус на рабочих компьютерах сотрудников Заказчика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Заказчик</w:t>
            </w:r>
            <w:r>
              <w:t xml:space="preserve"> </w:t>
            </w:r>
            <w:r>
              <w:t xml:space="preserve">(Kaspersky / Dr.Web — 2–5 тыс. ₽/раб.место/год)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Соблюдение парольной политики, сообщение об инцидентах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Заказчик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соответствие-требованиям"/>
    <w:p>
      <w:pPr>
        <w:pStyle w:val="Heading2"/>
      </w:pPr>
      <w:r>
        <w:t xml:space="preserve">7. СООТВЕТСТВИЕ ТРЕБОВАНИЯМ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Закон / документ</w:t>
            </w:r>
          </w:p>
        </w:tc>
        <w:tc>
          <w:tcPr/>
          <w:p>
            <w:pPr>
              <w:pStyle w:val="Compact"/>
            </w:pPr>
            <w:r>
              <w:t xml:space="preserve">Соответствует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Федеральный закон 152-ФЗ «О персональных данных»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Постановление Правительства РФ № 1119 (требования к защите ПД)</w:t>
            </w:r>
          </w:p>
        </w:tc>
        <w:tc>
          <w:tcPr/>
          <w:p>
            <w:pPr>
              <w:pStyle w:val="Compact"/>
            </w:pPr>
            <w:r>
              <w:t xml:space="preserve">✅ (для УЗ-3 и УЗ-4)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Приказ ФСТЭК России № 21 (организационные и технические меры)</w:t>
            </w:r>
          </w:p>
        </w:tc>
        <w:tc>
          <w:tcPr/>
          <w:p>
            <w:pPr>
              <w:pStyle w:val="Compact"/>
            </w:pPr>
            <w:r>
              <w:t xml:space="preserve">✅ (на уровне ПО)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Приказ ФСТЭК России № 17 (меры защиты для ГИС)</w:t>
            </w:r>
          </w:p>
        </w:tc>
        <w:tc>
          <w:tcPr/>
          <w:p>
            <w:pPr>
              <w:pStyle w:val="Compact"/>
            </w:pPr>
            <w:r>
              <w:t xml:space="preserve">✅ (на уровне ПО)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ГОСТ Р 7.0.97-2016 (организационно-распорядительная документация)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Федеральный закон 59-ФЗ (рассмотрение обращений граждан)</w:t>
            </w:r>
          </w:p>
        </w:tc>
        <w:tc>
          <w:tcPr/>
          <w:p>
            <w:pPr>
              <w:pStyle w:val="Compact"/>
            </w:pPr>
            <w:r>
              <w:t xml:space="preserve">✅ (контроль 30-дневного срока)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Федеральный закон 63-ФЗ (электронная подпись)</w:t>
            </w:r>
          </w:p>
        </w:tc>
        <w:tc>
          <w:tcPr/>
          <w:p>
            <w:pPr>
              <w:pStyle w:val="Compact"/>
            </w:pPr>
            <w:r>
              <w:t xml:space="preserve">⚠️ (поддержка КЭП — опционально)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Сертификация ФСТЭК на отсутствие НДВ</w:t>
            </w:r>
          </w:p>
        </w:tc>
        <w:tc>
          <w:tcPr/>
          <w:p>
            <w:pPr>
              <w:pStyle w:val="Compact"/>
            </w:pPr>
            <w:r>
              <w:t xml:space="preserve">⚠️ (не сертифицировано — для гос.тендеров может потребоваться отдельная сертификация)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информация-о-производителе"/>
    <w:p>
      <w:pPr>
        <w:pStyle w:val="Heading2"/>
      </w:pPr>
      <w:r>
        <w:t xml:space="preserve">8. ИНФОРМАЦИЯ О ПРОИЗВОДИТЕЛЕ</w:t>
      </w:r>
    </w:p>
    <w:p>
      <w:pPr>
        <w:pStyle w:val="FirstParagraph"/>
      </w:pPr>
      <w:r>
        <w:rPr>
          <w:b/>
          <w:bCs/>
        </w:rPr>
        <w:t xml:space="preserve">Индивидуальный предприниматель Галимов Ринат _________</w:t>
      </w:r>
      <w:r>
        <w:t xml:space="preserve"> </w:t>
      </w:r>
      <w:r>
        <w:t xml:space="preserve">ОГРНИП: ___________</w:t>
      </w:r>
      <w:r>
        <w:t xml:space="preserve"> </w:t>
      </w:r>
      <w:r>
        <w:t xml:space="preserve">ИНН: ___________</w:t>
      </w:r>
      <w:r>
        <w:t xml:space="preserve"> </w:t>
      </w:r>
      <w:r>
        <w:t xml:space="preserve">Адрес: ___________</w:t>
      </w:r>
      <w:r>
        <w:t xml:space="preserve"> </w:t>
      </w:r>
      <w:r>
        <w:t xml:space="preserve">Телефон: +7 (927) 725-62-32</w:t>
      </w:r>
      <w:r>
        <w:t xml:space="preserve"> </w:t>
      </w:r>
      <w:r>
        <w:t xml:space="preserve">Email: zenno.server@gmail.com</w:t>
      </w:r>
      <w:r>
        <w:t xml:space="preserve"> </w:t>
      </w:r>
      <w:r>
        <w:t xml:space="preserve">Сайт: https://прореестр.рф</w:t>
      </w:r>
    </w:p>
    <w:p>
      <w:pPr>
        <w:pStyle w:val="BodyText"/>
      </w:pPr>
      <w:r>
        <w:t xml:space="preserve">Документ актуален на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2026-04-29T05:17:05Z</dcterms:created>
  <dcterms:modified xsi:type="dcterms:W3CDTF">2026-04-29T05:17:05Z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